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0E935" w14:textId="77777777" w:rsidR="002934A4" w:rsidRPr="0075017B" w:rsidRDefault="002E241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 w:rsidRPr="0075017B">
        <w:rPr>
          <w:rFonts w:ascii="Tahoma" w:hAnsi="Tahoma" w:cs="Tahoma"/>
          <w:b/>
          <w:caps/>
          <w:sz w:val="40"/>
          <w:szCs w:val="40"/>
        </w:rPr>
        <w:t xml:space="preserve">Technická specifikace </w:t>
      </w:r>
    </w:p>
    <w:p w14:paraId="4458DED1" w14:textId="0DA64E6D" w:rsidR="002E241C" w:rsidRPr="0075017B" w:rsidRDefault="00D14DDC" w:rsidP="002E241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 w:rsidRPr="0075017B">
        <w:rPr>
          <w:rFonts w:ascii="Tahoma" w:hAnsi="Tahoma" w:cs="Tahoma"/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292720F" wp14:editId="007F9E71">
                <wp:simplePos x="0" y="0"/>
                <wp:positionH relativeFrom="column">
                  <wp:posOffset>-128271</wp:posOffset>
                </wp:positionH>
                <wp:positionV relativeFrom="paragraph">
                  <wp:posOffset>206375</wp:posOffset>
                </wp:positionV>
                <wp:extent cx="8943975" cy="38100"/>
                <wp:effectExtent l="0" t="0" r="28575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943975" cy="3810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2F8CA" id="Přímá spojnice 4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1pt,16.25pt" to="694.1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" strokecolor="#f60" strokeweight=".35mm">
                <v:stroke joinstyle="miter"/>
              </v:line>
            </w:pict>
          </mc:Fallback>
        </mc:AlternateContent>
      </w:r>
      <w:r w:rsidR="002934A4" w:rsidRPr="0075017B">
        <w:rPr>
          <w:rFonts w:ascii="Tahoma" w:hAnsi="Tahoma" w:cs="Tahoma"/>
          <w:sz w:val="20"/>
          <w:szCs w:val="20"/>
        </w:rPr>
        <w:t>Dodávka vybavení interiéru</w:t>
      </w:r>
      <w:r w:rsidR="00F06AEF">
        <w:rPr>
          <w:rFonts w:ascii="Tahoma" w:hAnsi="Tahoma" w:cs="Tahoma"/>
          <w:sz w:val="20"/>
          <w:szCs w:val="20"/>
        </w:rPr>
        <w:t xml:space="preserve"> – část A</w:t>
      </w:r>
    </w:p>
    <w:p w14:paraId="2068C255" w14:textId="208FA470" w:rsidR="002E241C" w:rsidRPr="0075017B" w:rsidRDefault="002E241C" w:rsidP="002E241C">
      <w:pPr>
        <w:spacing w:after="120" w:line="240" w:lineRule="auto"/>
        <w:rPr>
          <w:rFonts w:ascii="Tahoma" w:hAnsi="Tahoma" w:cs="Tahoma"/>
        </w:rPr>
      </w:pPr>
    </w:p>
    <w:p w14:paraId="7A38D6AF" w14:textId="77777777" w:rsidR="00A950C1" w:rsidRPr="0075017B" w:rsidRDefault="00A950C1" w:rsidP="00A950C1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b/>
          <w:sz w:val="20"/>
          <w:szCs w:val="20"/>
        </w:rPr>
        <w:t>Technické požadavky vybavení jsou závazné.</w:t>
      </w:r>
    </w:p>
    <w:p w14:paraId="7190E87D" w14:textId="77777777" w:rsidR="00A950C1" w:rsidRPr="0075017B" w:rsidRDefault="00A950C1" w:rsidP="00A950C1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Nabídka uchazeče musí splňovat alespoň minimální parametry požadované zadavatelem. </w:t>
      </w:r>
      <w:r w:rsidRPr="0075017B">
        <w:rPr>
          <w:rFonts w:ascii="Tahoma" w:hAnsi="Tahoma" w:cs="Tahoma"/>
          <w:b/>
          <w:sz w:val="20"/>
          <w:szCs w:val="20"/>
        </w:rPr>
        <w:t>Nesplnění některého z nich znamená, že nabídka bude vyřazena a nebude hodnocena.</w:t>
      </w:r>
    </w:p>
    <w:p w14:paraId="6762FD92" w14:textId="5F33F96C" w:rsidR="002E241C" w:rsidRPr="0075017B" w:rsidRDefault="00A950C1" w:rsidP="00A950C1">
      <w:pPr>
        <w:spacing w:after="12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5017B">
        <w:rPr>
          <w:rFonts w:ascii="Tahoma" w:hAnsi="Tahoma" w:cs="Tahoma"/>
          <w:sz w:val="20"/>
          <w:szCs w:val="20"/>
        </w:rPr>
        <w:t xml:space="preserve">Pokud se v ZD vyskytnou obchodní názvy některých výrobků nebo dodávek, případně jiná označení mající vztah ke konkrétnímu dodavateli, jedná se o vymezení předpokládaného standardu a dodavatel je oprávněn navrhnout jiné, technicky a kvalitativně srovnatelné řešení. </w:t>
      </w:r>
      <w:r w:rsidR="002E241C" w:rsidRPr="0075017B">
        <w:rPr>
          <w:rFonts w:ascii="Tahoma" w:hAnsi="Tahoma" w:cs="Tahoma"/>
          <w:b/>
          <w:sz w:val="20"/>
          <w:szCs w:val="20"/>
        </w:rPr>
        <w:t xml:space="preserve"> </w:t>
      </w:r>
    </w:p>
    <w:tbl>
      <w:tblPr>
        <w:tblStyle w:val="Mkatabulky"/>
        <w:tblW w:w="13608" w:type="dxa"/>
        <w:tblInd w:w="137" w:type="dxa"/>
        <w:tblLook w:val="04A0" w:firstRow="1" w:lastRow="0" w:firstColumn="1" w:lastColumn="0" w:noHBand="0" w:noVBand="1"/>
      </w:tblPr>
      <w:tblGrid>
        <w:gridCol w:w="709"/>
        <w:gridCol w:w="7117"/>
        <w:gridCol w:w="1217"/>
        <w:gridCol w:w="2297"/>
        <w:gridCol w:w="2268"/>
      </w:tblGrid>
      <w:tr w:rsidR="00C3544A" w:rsidRPr="0075017B" w14:paraId="17BD693F" w14:textId="4052B842" w:rsidTr="00BB698F">
        <w:tc>
          <w:tcPr>
            <w:tcW w:w="709" w:type="dxa"/>
            <w:shd w:val="clear" w:color="auto" w:fill="B8CCE4" w:themeFill="accent1" w:themeFillTint="66"/>
          </w:tcPr>
          <w:p w14:paraId="5BA6AA9F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Pol. č.:</w:t>
            </w:r>
          </w:p>
        </w:tc>
        <w:tc>
          <w:tcPr>
            <w:tcW w:w="7117" w:type="dxa"/>
            <w:shd w:val="clear" w:color="auto" w:fill="B8CCE4" w:themeFill="accent1" w:themeFillTint="66"/>
          </w:tcPr>
          <w:p w14:paraId="23EC74C6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 xml:space="preserve"> Popis, odkaz na výkres</w:t>
            </w:r>
          </w:p>
        </w:tc>
        <w:tc>
          <w:tcPr>
            <w:tcW w:w="1217" w:type="dxa"/>
            <w:shd w:val="clear" w:color="auto" w:fill="B8CCE4" w:themeFill="accent1" w:themeFillTint="66"/>
          </w:tcPr>
          <w:p w14:paraId="41488FB2" w14:textId="77777777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Počet kusů</w:t>
            </w:r>
          </w:p>
        </w:tc>
        <w:tc>
          <w:tcPr>
            <w:tcW w:w="2297" w:type="dxa"/>
            <w:shd w:val="clear" w:color="auto" w:fill="B8CCE4" w:themeFill="accent1" w:themeFillTint="66"/>
          </w:tcPr>
          <w:p w14:paraId="4BDD156C" w14:textId="779E7300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Cena za kus bez DPH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14:paraId="407395E4" w14:textId="14AEACAE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b/>
                <w:lang w:eastAsia="en-US"/>
              </w:rPr>
            </w:pPr>
            <w:r w:rsidRPr="0075017B">
              <w:rPr>
                <w:rFonts w:ascii="Tahoma" w:hAnsi="Tahoma" w:cs="Tahoma"/>
                <w:b/>
                <w:lang w:eastAsia="en-US"/>
              </w:rPr>
              <w:t>Cena celkem bez DPH</w:t>
            </w:r>
          </w:p>
        </w:tc>
      </w:tr>
      <w:tr w:rsidR="00C3544A" w:rsidRPr="0075017B" w14:paraId="74FF76BB" w14:textId="3009C0E3" w:rsidTr="00BB698F">
        <w:trPr>
          <w:trHeight w:hRule="exact" w:val="1300"/>
        </w:trPr>
        <w:tc>
          <w:tcPr>
            <w:tcW w:w="709" w:type="dxa"/>
            <w:vAlign w:val="center"/>
          </w:tcPr>
          <w:p w14:paraId="74995018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1</w:t>
            </w:r>
          </w:p>
          <w:p w14:paraId="587B5799" w14:textId="36B93619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M1,</w:t>
            </w:r>
            <w:r w:rsidRPr="0075017B">
              <w:rPr>
                <w:rFonts w:ascii="Tahoma" w:hAnsi="Tahoma" w:cs="Tahoma"/>
                <w:sz w:val="18"/>
                <w:lang w:eastAsia="en-US"/>
              </w:rPr>
              <w:t xml:space="preserve"> M8</w:t>
            </w:r>
          </w:p>
        </w:tc>
        <w:tc>
          <w:tcPr>
            <w:tcW w:w="7117" w:type="dxa"/>
            <w:vAlign w:val="center"/>
          </w:tcPr>
          <w:p w14:paraId="0EDC6DE3" w14:textId="77C7FBC0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Sedací taburety – square                                               </w:t>
            </w:r>
          </w:p>
          <w:p w14:paraId="531C0589" w14:textId="34E3192C" w:rsidR="00C3544A" w:rsidRPr="0075017B" w:rsidRDefault="00C3544A" w:rsidP="00C3544A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obdélníkový segment používaný jako spojovací prvek modulárního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systému;pevná</w:t>
            </w:r>
            <w:proofErr w:type="spellEnd"/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dřevěná konstrukce s </w:t>
            </w:r>
            <w:proofErr w:type="spell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expendovanou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polyuretanovou výplní v. 45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mm;kluzáky</w:t>
            </w:r>
            <w:proofErr w:type="spellEnd"/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s rektifikací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0 - 10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mm;nosnost</w:t>
            </w:r>
            <w:proofErr w:type="spellEnd"/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120 kg;62x75x40cm; čalounění: standardně látka </w:t>
            </w:r>
            <w:proofErr w:type="spell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Bondai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; barva petrolej</w:t>
            </w:r>
          </w:p>
          <w:p w14:paraId="3970671F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830D8F2" w14:textId="0C5FE531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97" w:type="dxa"/>
            <w:vAlign w:val="center"/>
          </w:tcPr>
          <w:p w14:paraId="19624EB6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01398CB3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14C1217E" w14:textId="7B36AEF9" w:rsidTr="00BB698F">
        <w:trPr>
          <w:trHeight w:hRule="exact" w:val="1276"/>
        </w:trPr>
        <w:tc>
          <w:tcPr>
            <w:tcW w:w="709" w:type="dxa"/>
            <w:vAlign w:val="center"/>
          </w:tcPr>
          <w:p w14:paraId="65D4449C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2</w:t>
            </w:r>
          </w:p>
          <w:p w14:paraId="077AD454" w14:textId="6A7EF759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M1</w:t>
            </w: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, M8</w:t>
            </w:r>
          </w:p>
        </w:tc>
        <w:tc>
          <w:tcPr>
            <w:tcW w:w="7117" w:type="dxa"/>
            <w:vAlign w:val="center"/>
          </w:tcPr>
          <w:p w14:paraId="0E305FAE" w14:textId="50BF63FD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Sedací taburety – 45 (triangle)                                              </w:t>
            </w:r>
          </w:p>
          <w:p w14:paraId="73935A04" w14:textId="18CEAEDC" w:rsidR="00C3544A" w:rsidRPr="0075017B" w:rsidRDefault="00C3544A" w:rsidP="00C3544A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45 ° trojúhelníkový segment používaný jako rohové uspořádání; pevná dřevěná konstrukce s </w:t>
            </w:r>
            <w:proofErr w:type="spell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expendovanou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polyuretanovou výplní v. 45 mm; kluzáky s rektifikací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0 - 10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mm;nosnost</w:t>
            </w:r>
            <w:proofErr w:type="spellEnd"/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120 kg;63x69x40cm, čalounění: standardně látka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Bondai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barva petrolej</w:t>
            </w:r>
          </w:p>
          <w:p w14:paraId="70D33C6C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72C1ED7F" w14:textId="6E659F83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97" w:type="dxa"/>
            <w:vAlign w:val="center"/>
          </w:tcPr>
          <w:p w14:paraId="66710F0F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BE376D9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403313BB" w14:textId="343AA9FD" w:rsidTr="00BB698F">
        <w:trPr>
          <w:trHeight w:hRule="exact" w:val="1981"/>
        </w:trPr>
        <w:tc>
          <w:tcPr>
            <w:tcW w:w="709" w:type="dxa"/>
            <w:vAlign w:val="center"/>
          </w:tcPr>
          <w:p w14:paraId="7BE3F015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3</w:t>
            </w:r>
          </w:p>
          <w:p w14:paraId="502E9818" w14:textId="7142BA0F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M2</w:t>
            </w:r>
          </w:p>
        </w:tc>
        <w:tc>
          <w:tcPr>
            <w:tcW w:w="7117" w:type="dxa"/>
            <w:vAlign w:val="center"/>
          </w:tcPr>
          <w:p w14:paraId="7768F7FD" w14:textId="57078B0E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Barové židle </w:t>
            </w:r>
          </w:p>
          <w:p w14:paraId="3DAF072A" w14:textId="07A00BE1" w:rsidR="00C3544A" w:rsidRPr="0075017B" w:rsidRDefault="00C3544A" w:rsidP="00C3544A">
            <w:pPr>
              <w:suppressAutoHyphens w:val="0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Čalouněná barová židle s opěrkou v anglickém stylu prošívání </w:t>
            </w:r>
            <w:proofErr w:type="spell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Chesterfield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. Vhodná do restaurací, barů, kaváren či domácností. Celková výška: 97x108x118 cm; Výška sedu:70x81x91 cm; Celková šířka:53 cm; Šířka sedáku: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52 – 30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cm; Celková hloubka:55 cm; Hloubka sedu:41 cm; Konstrukce: masivní bukové dřevo; Výplň: vysoce elastická pěna velmi vysoká hustota, sinusová pružina v sedadle; odstín čalounění – barva petrolej</w:t>
            </w:r>
          </w:p>
          <w:p w14:paraId="268DA8D6" w14:textId="41E7DF29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2392E499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55886AA" w14:textId="7FD5C5CB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97" w:type="dxa"/>
            <w:vAlign w:val="center"/>
          </w:tcPr>
          <w:p w14:paraId="02BD803D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99824DA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24DC834F" w14:textId="10BBBCE2" w:rsidTr="00BB698F">
        <w:trPr>
          <w:trHeight w:hRule="exact" w:val="989"/>
        </w:trPr>
        <w:tc>
          <w:tcPr>
            <w:tcW w:w="709" w:type="dxa"/>
            <w:vAlign w:val="center"/>
          </w:tcPr>
          <w:p w14:paraId="130589A7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lastRenderedPageBreak/>
              <w:t>4</w:t>
            </w:r>
          </w:p>
          <w:p w14:paraId="0288BCF6" w14:textId="4F78ADC0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M3</w:t>
            </w:r>
          </w:p>
        </w:tc>
        <w:tc>
          <w:tcPr>
            <w:tcW w:w="7117" w:type="dxa"/>
            <w:vAlign w:val="center"/>
          </w:tcPr>
          <w:p w14:paraId="0BAA9CAA" w14:textId="737965A4" w:rsidR="00C3544A" w:rsidRPr="0075017B" w:rsidRDefault="00C3544A" w:rsidP="00C3544A">
            <w:pPr>
              <w:suppressAutoHyphens w:val="0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Křesílka čalouněné látkou, s černým kovovým rámem, sedákem a opěradlem z HR pěny, </w:t>
            </w: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odstín čalounění –</w:t>
            </w:r>
            <w:r w:rsidRPr="0075017B"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barva petrolej</w:t>
            </w: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; 76x104x85; hmotnost </w:t>
            </w:r>
            <w:proofErr w:type="gramStart"/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20  kg</w:t>
            </w:r>
            <w:proofErr w:type="gramEnd"/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; nosnost 100 kg</w:t>
            </w:r>
          </w:p>
        </w:tc>
        <w:tc>
          <w:tcPr>
            <w:tcW w:w="1217" w:type="dxa"/>
            <w:vAlign w:val="center"/>
          </w:tcPr>
          <w:p w14:paraId="2B48D9E9" w14:textId="24DAC17A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2297" w:type="dxa"/>
            <w:vAlign w:val="center"/>
          </w:tcPr>
          <w:p w14:paraId="611D131D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0D49F422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C3544A" w:rsidRPr="0075017B" w14:paraId="659D0934" w14:textId="3F707C86" w:rsidTr="00BB698F">
        <w:trPr>
          <w:trHeight w:hRule="exact" w:val="1139"/>
        </w:trPr>
        <w:tc>
          <w:tcPr>
            <w:tcW w:w="709" w:type="dxa"/>
            <w:vAlign w:val="center"/>
          </w:tcPr>
          <w:p w14:paraId="4734B1AE" w14:textId="7566A943" w:rsidR="00C3544A" w:rsidRPr="0075017B" w:rsidRDefault="00C3544A" w:rsidP="00C3544A">
            <w:pPr>
              <w:contextualSpacing/>
              <w:rPr>
                <w:rFonts w:ascii="Tahoma" w:hAnsi="Tahoma" w:cs="Tahoma"/>
                <w:b/>
                <w:bCs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M4</w:t>
            </w:r>
          </w:p>
        </w:tc>
        <w:tc>
          <w:tcPr>
            <w:tcW w:w="7117" w:type="dxa"/>
            <w:vAlign w:val="center"/>
          </w:tcPr>
          <w:p w14:paraId="020A3BE8" w14:textId="3638D4AA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Stolek – kavárna</w:t>
            </w:r>
          </w:p>
          <w:p w14:paraId="4B913AA6" w14:textId="70E82DBB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Rozměry 80x80x70 cm; bílá barva, materiál – deska stolu: kompaktní HPL (</w:t>
            </w:r>
            <w:proofErr w:type="spellStart"/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high-pressure-laminate</w:t>
            </w:r>
            <w:proofErr w:type="spellEnd"/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), nohy </w:t>
            </w:r>
            <w:proofErr w:type="gramStart"/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stolu- práškově</w:t>
            </w:r>
            <w:proofErr w:type="gramEnd"/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lakovaná ocel (bílá matná/pololesklá)</w:t>
            </w:r>
          </w:p>
        </w:tc>
        <w:tc>
          <w:tcPr>
            <w:tcW w:w="1217" w:type="dxa"/>
            <w:vAlign w:val="center"/>
          </w:tcPr>
          <w:p w14:paraId="1D83D55D" w14:textId="687C4871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2297" w:type="dxa"/>
            <w:vAlign w:val="center"/>
          </w:tcPr>
          <w:p w14:paraId="4DBAA49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965FA9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C3544A" w:rsidRPr="0075017B" w14:paraId="1657C07F" w14:textId="7BCE5866" w:rsidTr="00BB698F">
        <w:trPr>
          <w:trHeight w:hRule="exact" w:val="847"/>
        </w:trPr>
        <w:tc>
          <w:tcPr>
            <w:tcW w:w="709" w:type="dxa"/>
            <w:vAlign w:val="center"/>
          </w:tcPr>
          <w:p w14:paraId="35CE1C1E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5</w:t>
            </w:r>
          </w:p>
          <w:p w14:paraId="3AA62200" w14:textId="4EB5F2F9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M5</w:t>
            </w:r>
          </w:p>
        </w:tc>
        <w:tc>
          <w:tcPr>
            <w:tcW w:w="7117" w:type="dxa"/>
            <w:vAlign w:val="center"/>
          </w:tcPr>
          <w:p w14:paraId="12732B9A" w14:textId="3CDA6232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Bistro stolek                       </w:t>
            </w:r>
          </w:p>
          <w:p w14:paraId="532731BB" w14:textId="281CDFF8" w:rsidR="00C3544A" w:rsidRPr="0075017B" w:rsidRDefault="00C3544A" w:rsidP="00C3544A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80x80x110;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8kg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; ocelový rám s práškovým nástřikem (šedá) a odolná plastová deska stolu (4,5 cm, bílá)</w:t>
            </w:r>
          </w:p>
          <w:p w14:paraId="675C5F00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DB57BB5" w14:textId="5F7F2D07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2297" w:type="dxa"/>
            <w:vAlign w:val="center"/>
          </w:tcPr>
          <w:p w14:paraId="266F4B83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6222FA6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C3544A" w:rsidRPr="0075017B" w14:paraId="53100907" w14:textId="022C723E" w:rsidTr="00BB698F">
        <w:trPr>
          <w:trHeight w:hRule="exact" w:val="859"/>
        </w:trPr>
        <w:tc>
          <w:tcPr>
            <w:tcW w:w="709" w:type="dxa"/>
            <w:vAlign w:val="center"/>
          </w:tcPr>
          <w:p w14:paraId="1DBEF186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6</w:t>
            </w:r>
          </w:p>
          <w:p w14:paraId="3F8097A3" w14:textId="78A2CD3F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M5</w:t>
            </w:r>
          </w:p>
        </w:tc>
        <w:tc>
          <w:tcPr>
            <w:tcW w:w="7117" w:type="dxa"/>
            <w:vAlign w:val="center"/>
          </w:tcPr>
          <w:p w14:paraId="43461757" w14:textId="20F5FC58" w:rsidR="00C3544A" w:rsidRPr="0075017B" w:rsidRDefault="00C3544A" w:rsidP="00C3544A">
            <w:pPr>
              <w:rPr>
                <w:rFonts w:ascii="Tahoma" w:hAnsi="Tahoma" w:cs="Tahoma"/>
                <w:color w:val="000000"/>
              </w:rPr>
            </w:pPr>
            <w:r w:rsidRPr="0075017B">
              <w:rPr>
                <w:rFonts w:ascii="Tahoma" w:hAnsi="Tahoma" w:cs="Tahoma"/>
                <w:color w:val="000000"/>
              </w:rPr>
              <w:t xml:space="preserve">Bistro </w:t>
            </w:r>
            <w:proofErr w:type="gramStart"/>
            <w:r w:rsidRPr="0075017B">
              <w:rPr>
                <w:rFonts w:ascii="Tahoma" w:hAnsi="Tahoma" w:cs="Tahoma"/>
                <w:color w:val="000000"/>
              </w:rPr>
              <w:t>stolek - ubrus</w:t>
            </w:r>
            <w:proofErr w:type="gramEnd"/>
            <w:r w:rsidRPr="0075017B">
              <w:rPr>
                <w:rFonts w:ascii="Tahoma" w:hAnsi="Tahoma" w:cs="Tahoma"/>
                <w:color w:val="000000"/>
              </w:rPr>
              <w:t xml:space="preserve">                                                  </w:t>
            </w:r>
          </w:p>
          <w:p w14:paraId="467D6656" w14:textId="17DE9031" w:rsidR="00C3544A" w:rsidRPr="0075017B" w:rsidRDefault="00C3544A" w:rsidP="00C3544A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materiál: 90 % polyester + 10 % obousměrný </w:t>
            </w:r>
            <w:proofErr w:type="spell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elastan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– 190 g/m2; určeno pro stoly s deskou o průměru 80 cm a výškou 110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cm;bílá</w:t>
            </w:r>
            <w:proofErr w:type="spellEnd"/>
            <w:proofErr w:type="gramEnd"/>
          </w:p>
          <w:p w14:paraId="72FA3740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04267981" w14:textId="74D79C4F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2297" w:type="dxa"/>
            <w:vAlign w:val="center"/>
          </w:tcPr>
          <w:p w14:paraId="2B5C783B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E276FDD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C3544A" w:rsidRPr="0075017B" w14:paraId="67A827F3" w14:textId="2BF1A130" w:rsidTr="00BB698F">
        <w:trPr>
          <w:trHeight w:hRule="exact" w:val="999"/>
        </w:trPr>
        <w:tc>
          <w:tcPr>
            <w:tcW w:w="709" w:type="dxa"/>
            <w:vAlign w:val="center"/>
          </w:tcPr>
          <w:p w14:paraId="351119BE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7</w:t>
            </w:r>
          </w:p>
          <w:p w14:paraId="2937301B" w14:textId="09DA1682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18"/>
                <w:lang w:eastAsia="en-US"/>
              </w:rPr>
              <w:t>T1</w:t>
            </w:r>
          </w:p>
        </w:tc>
        <w:tc>
          <w:tcPr>
            <w:tcW w:w="7117" w:type="dxa"/>
            <w:vAlign w:val="center"/>
          </w:tcPr>
          <w:p w14:paraId="453D3820" w14:textId="504E6192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Stojací věšák                                                                      </w:t>
            </w:r>
          </w:p>
          <w:p w14:paraId="3CACA416" w14:textId="02E517B9" w:rsidR="00C3544A" w:rsidRPr="0075017B" w:rsidRDefault="00C3544A" w:rsidP="00C3544A">
            <w:pPr>
              <w:rPr>
                <w:rFonts w:ascii="Tahoma" w:hAnsi="Tahoma" w:cs="Tahoma"/>
                <w:color w:val="00000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Šířka (cm):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28;Výška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(cm):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173;Hloubka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(cm):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28;materiál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: kov; hmotnost (kg): 0,96; nutno složit: ano; povrchová úprava: mat; Typ věšák:</w:t>
            </w:r>
            <w:r w:rsidRPr="0075017B">
              <w:rPr>
                <w:rFonts w:ascii="Tahoma" w:hAnsi="Tahoma" w:cs="Tahoma"/>
                <w:i/>
                <w:iCs/>
                <w:color w:val="000000"/>
              </w:rPr>
              <w:t xml:space="preserve"> stojící; </w:t>
            </w: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Zbarveni: černá</w:t>
            </w:r>
          </w:p>
          <w:p w14:paraId="589F05EE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67B36149" w14:textId="23E13DD4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75017B"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2297" w:type="dxa"/>
            <w:vAlign w:val="center"/>
          </w:tcPr>
          <w:p w14:paraId="11DD0F6D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FC188E0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C3544A" w:rsidRPr="0075017B" w14:paraId="1BA0E55A" w14:textId="78599E6C" w:rsidTr="00BB698F">
        <w:trPr>
          <w:trHeight w:hRule="exact" w:val="1272"/>
        </w:trPr>
        <w:tc>
          <w:tcPr>
            <w:tcW w:w="709" w:type="dxa"/>
            <w:vAlign w:val="center"/>
          </w:tcPr>
          <w:p w14:paraId="6E44D51A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8</w:t>
            </w:r>
          </w:p>
          <w:p w14:paraId="39118DD6" w14:textId="41F2274B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M6</w:t>
            </w:r>
          </w:p>
        </w:tc>
        <w:tc>
          <w:tcPr>
            <w:tcW w:w="7117" w:type="dxa"/>
            <w:vAlign w:val="center"/>
          </w:tcPr>
          <w:p w14:paraId="717B2E8B" w14:textId="68D1616F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Židle                                                                                 </w:t>
            </w:r>
          </w:p>
          <w:p w14:paraId="30AACF53" w14:textId="1B8F8180" w:rsidR="00C3544A" w:rsidRPr="0075017B" w:rsidRDefault="00C3544A" w:rsidP="00C3544A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57x56x81, nosnost 130 kg; hmotnost 7,5 kg; </w:t>
            </w:r>
            <w:proofErr w:type="spell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stohovatelnost</w:t>
            </w:r>
            <w:proofErr w:type="spell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15 ks; subtilní ocelová kostra; možno spojovat do řad; síťovaná opěrka, čalouněný sedák; odstín čalounění </w:t>
            </w:r>
            <w:r w:rsidRPr="0075017B"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světle šedá</w:t>
            </w:r>
          </w:p>
          <w:p w14:paraId="1DB5889A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8464A65" w14:textId="19ABE1A7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97" w:type="dxa"/>
            <w:vAlign w:val="center"/>
          </w:tcPr>
          <w:p w14:paraId="3FEC0DD1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211F905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197FA166" w14:textId="21DBC2E4" w:rsidTr="00BB698F">
        <w:trPr>
          <w:trHeight w:hRule="exact" w:val="849"/>
        </w:trPr>
        <w:tc>
          <w:tcPr>
            <w:tcW w:w="709" w:type="dxa"/>
            <w:vAlign w:val="center"/>
          </w:tcPr>
          <w:p w14:paraId="2C957B0D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9</w:t>
            </w:r>
          </w:p>
          <w:p w14:paraId="068B6D50" w14:textId="3F5F69E1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M7</w:t>
            </w:r>
          </w:p>
        </w:tc>
        <w:tc>
          <w:tcPr>
            <w:tcW w:w="7117" w:type="dxa"/>
            <w:vAlign w:val="center"/>
          </w:tcPr>
          <w:p w14:paraId="2DED51B5" w14:textId="39F41CEB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Stolek                                            </w:t>
            </w:r>
          </w:p>
          <w:p w14:paraId="523E68B2" w14:textId="27C8B80F" w:rsidR="00C3544A" w:rsidRPr="0075017B" w:rsidRDefault="00C3544A" w:rsidP="00C3544A">
            <w:pP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Rozměry: 60x60x76 cm, LTD deska </w:t>
            </w:r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28mm</w:t>
            </w:r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; hmotnost 24 kg; </w:t>
            </w:r>
            <w:r w:rsidRPr="0075017B"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dekor buk přírodní </w:t>
            </w:r>
          </w:p>
          <w:p w14:paraId="046456B6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16B79A67" w14:textId="77777777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10</w:t>
            </w:r>
          </w:p>
          <w:p w14:paraId="185F424F" w14:textId="02EE9ADC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14:paraId="06468DB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06D07A40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2CE00BEB" w14:textId="038FD0FB" w:rsidTr="00BB698F">
        <w:trPr>
          <w:trHeight w:hRule="exact" w:val="1144"/>
        </w:trPr>
        <w:tc>
          <w:tcPr>
            <w:tcW w:w="709" w:type="dxa"/>
            <w:vAlign w:val="center"/>
          </w:tcPr>
          <w:p w14:paraId="18F7665C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10</w:t>
            </w:r>
          </w:p>
          <w:p w14:paraId="505F9195" w14:textId="067917B2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M9</w:t>
            </w:r>
          </w:p>
        </w:tc>
        <w:tc>
          <w:tcPr>
            <w:tcW w:w="7117" w:type="dxa"/>
            <w:vAlign w:val="center"/>
          </w:tcPr>
          <w:p w14:paraId="76DC6D53" w14:textId="77777777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Kancelářská židle                                </w:t>
            </w:r>
          </w:p>
          <w:p w14:paraId="288E08FA" w14:textId="1439A188" w:rsidR="00C3544A" w:rsidRPr="0075017B" w:rsidRDefault="00C3544A" w:rsidP="00C3544A">
            <w:pPr>
              <w:suppressAutoHyphens w:val="0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Rozměry: 60x45x118 cm; výškově stavitelný opěrák, systém UP-DOWN; plochý nylonový černý kříž Ø 600 mm s kolečky Ø 50 mm; čalouněný opěrák a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sedák;nosnost</w:t>
            </w:r>
            <w:proofErr w:type="spellEnd"/>
            <w:proofErr w:type="gramEnd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120 kg; barva černá</w:t>
            </w:r>
          </w:p>
          <w:p w14:paraId="7D60DE90" w14:textId="29BDF13D" w:rsidR="00C3544A" w:rsidRPr="0075017B" w:rsidRDefault="00C3544A" w:rsidP="00C3544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      </w:t>
            </w:r>
          </w:p>
          <w:p w14:paraId="08472790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CC56C7F" w14:textId="77777777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97" w:type="dxa"/>
            <w:vAlign w:val="center"/>
          </w:tcPr>
          <w:p w14:paraId="5619C9C9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F50E28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7D6BDC6E" w14:textId="2C047BF9" w:rsidTr="00BB698F">
        <w:trPr>
          <w:trHeight w:hRule="exact" w:val="1118"/>
        </w:trPr>
        <w:tc>
          <w:tcPr>
            <w:tcW w:w="709" w:type="dxa"/>
            <w:vAlign w:val="center"/>
          </w:tcPr>
          <w:p w14:paraId="2E6DE1DA" w14:textId="6F3B1F0B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 xml:space="preserve">11 </w:t>
            </w: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M10</w:t>
            </w:r>
          </w:p>
        </w:tc>
        <w:tc>
          <w:tcPr>
            <w:tcW w:w="7117" w:type="dxa"/>
            <w:vAlign w:val="center"/>
          </w:tcPr>
          <w:p w14:paraId="1C7C27BA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Psací stůl </w:t>
            </w:r>
          </w:p>
          <w:p w14:paraId="487E360C" w14:textId="483A3D7E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color w:val="000000"/>
                <w:sz w:val="20"/>
                <w:szCs w:val="20"/>
              </w:rPr>
              <w:t>Rozměry</w:t>
            </w: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:</w:t>
            </w: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160x80x73 cm; pracovní plochy i nohy stolů </w:t>
            </w:r>
            <w:proofErr w:type="spellStart"/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. 38 mm, všechny plochy jsou opatřeny hranou ABS v </w:t>
            </w:r>
            <w:proofErr w:type="spellStart"/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. 8 mm, </w:t>
            </w:r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barevné provedení Akát</w:t>
            </w:r>
          </w:p>
        </w:tc>
        <w:tc>
          <w:tcPr>
            <w:tcW w:w="1217" w:type="dxa"/>
            <w:vAlign w:val="center"/>
          </w:tcPr>
          <w:p w14:paraId="2CEC39A3" w14:textId="1DAEBDEC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97" w:type="dxa"/>
            <w:vAlign w:val="center"/>
          </w:tcPr>
          <w:p w14:paraId="50189ABE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314BFF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6EFCBD2E" w14:textId="3E3AF58D" w:rsidTr="00BB698F">
        <w:trPr>
          <w:trHeight w:hRule="exact" w:val="1118"/>
        </w:trPr>
        <w:tc>
          <w:tcPr>
            <w:tcW w:w="709" w:type="dxa"/>
            <w:vAlign w:val="center"/>
          </w:tcPr>
          <w:p w14:paraId="18C92FB6" w14:textId="0CE4F1F3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12 </w:t>
            </w: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M11</w:t>
            </w:r>
          </w:p>
        </w:tc>
        <w:tc>
          <w:tcPr>
            <w:tcW w:w="7117" w:type="dxa"/>
            <w:vAlign w:val="center"/>
          </w:tcPr>
          <w:p w14:paraId="3C6FD063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Kontejner 3 zásuvky</w:t>
            </w:r>
          </w:p>
          <w:p w14:paraId="79380672" w14:textId="448A4319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Rozměry:47x60x60 </w:t>
            </w:r>
            <w:proofErr w:type="spellStart"/>
            <w:proofErr w:type="gramStart"/>
            <w:r w:rsidRPr="0075017B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cm,z</w:t>
            </w:r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ásuvky</w:t>
            </w:r>
            <w:proofErr w:type="spellEnd"/>
            <w:proofErr w:type="gram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v kovovém provedení, 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tužkovnice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jako samostatná zásuvka plastová; hrany kontejneru olepeny ABS v 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. 2 </w:t>
            </w:r>
            <w:proofErr w:type="gram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mm  ;</w:t>
            </w:r>
            <w:proofErr w:type="gram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 centrální uzamykání; otočná kolečka, barevné provedení Akát</w:t>
            </w:r>
          </w:p>
        </w:tc>
        <w:tc>
          <w:tcPr>
            <w:tcW w:w="1217" w:type="dxa"/>
            <w:vAlign w:val="center"/>
          </w:tcPr>
          <w:p w14:paraId="755C3F7E" w14:textId="4254BF13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97" w:type="dxa"/>
            <w:vAlign w:val="center"/>
          </w:tcPr>
          <w:p w14:paraId="374FE1FB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6EAEF05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308530DF" w14:textId="010224A3" w:rsidTr="00BB698F">
        <w:trPr>
          <w:trHeight w:hRule="exact" w:val="1118"/>
        </w:trPr>
        <w:tc>
          <w:tcPr>
            <w:tcW w:w="709" w:type="dxa"/>
            <w:vAlign w:val="center"/>
          </w:tcPr>
          <w:p w14:paraId="45CA81E0" w14:textId="3ABCE324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13 </w:t>
            </w:r>
          </w:p>
          <w:p w14:paraId="2A3610A9" w14:textId="3B3E3A85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M12</w:t>
            </w:r>
          </w:p>
        </w:tc>
        <w:tc>
          <w:tcPr>
            <w:tcW w:w="7117" w:type="dxa"/>
            <w:vAlign w:val="center"/>
          </w:tcPr>
          <w:p w14:paraId="55CFF9E0" w14:textId="3B39F369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Skříň dvoudvéřová</w:t>
            </w:r>
          </w:p>
          <w:p w14:paraId="202FA09E" w14:textId="714898EC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Rozměry:128x46x185 cm; barevné provedení Akát; lakované dřevotřískové desky; půdy, dna, police a svislé příčky v 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. 38 mm; záda a dveře skříně 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. 18 mm; záda skříně jsou pohledová; dveře vložené se sklopnou úchytkou</w:t>
            </w:r>
          </w:p>
        </w:tc>
        <w:tc>
          <w:tcPr>
            <w:tcW w:w="1217" w:type="dxa"/>
            <w:vAlign w:val="center"/>
          </w:tcPr>
          <w:p w14:paraId="5E319DF2" w14:textId="3A0DEA6C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  <w:vAlign w:val="center"/>
          </w:tcPr>
          <w:p w14:paraId="75CEED4D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A44258E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18EB1633" w14:textId="34100E50" w:rsidTr="00BB698F">
        <w:trPr>
          <w:trHeight w:hRule="exact" w:val="1148"/>
        </w:trPr>
        <w:tc>
          <w:tcPr>
            <w:tcW w:w="709" w:type="dxa"/>
            <w:vAlign w:val="center"/>
          </w:tcPr>
          <w:p w14:paraId="3FB7DE27" w14:textId="33D3949C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14</w:t>
            </w:r>
          </w:p>
          <w:p w14:paraId="00B09A55" w14:textId="4725580A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M13</w:t>
            </w:r>
          </w:p>
        </w:tc>
        <w:tc>
          <w:tcPr>
            <w:tcW w:w="7117" w:type="dxa"/>
            <w:vAlign w:val="center"/>
          </w:tcPr>
          <w:p w14:paraId="4296E059" w14:textId="77777777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Skříň dvoudvéřová</w:t>
            </w:r>
          </w:p>
          <w:p w14:paraId="095F10BF" w14:textId="136540DA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128x46x130; barevné provedení Akát; lakované dřevotřískové desky; půdy, dna, police a svislé příčky v 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. 38 mm; záda a dveře skříně 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. 18 mm; záda skříně jsou pohledová; dveře vložené se sklopnou úchytkou</w:t>
            </w:r>
          </w:p>
        </w:tc>
        <w:tc>
          <w:tcPr>
            <w:tcW w:w="1217" w:type="dxa"/>
            <w:vAlign w:val="center"/>
          </w:tcPr>
          <w:p w14:paraId="1F123795" w14:textId="2E75A03F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  <w:vAlign w:val="center"/>
          </w:tcPr>
          <w:p w14:paraId="0A8A618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701E2EF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19A68AA6" w14:textId="3A0AA925" w:rsidTr="00BB698F">
        <w:trPr>
          <w:trHeight w:hRule="exact" w:val="1122"/>
        </w:trPr>
        <w:tc>
          <w:tcPr>
            <w:tcW w:w="709" w:type="dxa"/>
            <w:vAlign w:val="center"/>
          </w:tcPr>
          <w:p w14:paraId="70391679" w14:textId="27A22C46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15</w:t>
            </w:r>
          </w:p>
          <w:p w14:paraId="0DBF742A" w14:textId="4A057A98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M14</w:t>
            </w:r>
          </w:p>
        </w:tc>
        <w:tc>
          <w:tcPr>
            <w:tcW w:w="7117" w:type="dxa"/>
            <w:vAlign w:val="center"/>
          </w:tcPr>
          <w:p w14:paraId="6B3A6137" w14:textId="40AF4033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Skříň čtyřdveřová</w:t>
            </w:r>
          </w:p>
          <w:p w14:paraId="75024DA6" w14:textId="142823D5" w:rsidR="00C3544A" w:rsidRPr="0075017B" w:rsidRDefault="00C3544A" w:rsidP="00C3544A">
            <w:pPr>
              <w:spacing w:after="200" w:line="276" w:lineRule="auto"/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248x46x90; </w:t>
            </w:r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barevné provedení Akát; lakované dřevotřískové desky; půdy, dna, police a svislé příčky v 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 xml:space="preserve">. 38 mm; záda a dveře skříně </w:t>
            </w:r>
            <w:proofErr w:type="spell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tl</w:t>
            </w:r>
            <w:proofErr w:type="spellEnd"/>
            <w:r w:rsidRPr="0075017B"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. 18 mm; záda skříně jsou pohledová; dveře vložené se sklopnou úchytkou</w:t>
            </w:r>
          </w:p>
        </w:tc>
        <w:tc>
          <w:tcPr>
            <w:tcW w:w="1217" w:type="dxa"/>
            <w:vAlign w:val="center"/>
          </w:tcPr>
          <w:p w14:paraId="7469CB3B" w14:textId="62A632EA" w:rsidR="00C3544A" w:rsidRPr="0075017B" w:rsidRDefault="00C3544A" w:rsidP="00C3544A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97" w:type="dxa"/>
            <w:vAlign w:val="center"/>
          </w:tcPr>
          <w:p w14:paraId="4824D2A7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607C436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25503AFB" w14:textId="588F0E95" w:rsidTr="00BB698F">
        <w:trPr>
          <w:trHeight w:hRule="exact" w:val="1312"/>
        </w:trPr>
        <w:tc>
          <w:tcPr>
            <w:tcW w:w="709" w:type="dxa"/>
            <w:vAlign w:val="center"/>
          </w:tcPr>
          <w:p w14:paraId="42395243" w14:textId="15077E5B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16</w:t>
            </w:r>
          </w:p>
          <w:p w14:paraId="3CD68AD7" w14:textId="6B297B47" w:rsidR="00C3544A" w:rsidRPr="0075017B" w:rsidRDefault="00C3544A" w:rsidP="00C3544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M15</w:t>
            </w:r>
          </w:p>
          <w:p w14:paraId="2FE2DDB1" w14:textId="11F36A15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3F42CDB9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14:paraId="7B1A0C73" w14:textId="5ABF2791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Policové regály </w:t>
            </w:r>
          </w:p>
          <w:p w14:paraId="7FC62FB4" w14:textId="12308611" w:rsidR="00C3544A" w:rsidRPr="0075017B" w:rsidRDefault="00C3544A" w:rsidP="00C3544A">
            <w:pPr>
              <w:rPr>
                <w:rFonts w:ascii="Tahoma" w:eastAsiaTheme="minorHAnsi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Rozměr:</w:t>
            </w: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2500 x 1050 x 500 (7 polic)</w:t>
            </w:r>
          </w:p>
          <w:p w14:paraId="1EADD646" w14:textId="403E6F2D" w:rsidR="00C3544A" w:rsidRPr="0075017B" w:rsidRDefault="00C3544A" w:rsidP="00C3544A">
            <w:pPr>
              <w:rPr>
                <w:rFonts w:ascii="Tahoma" w:eastAsiaTheme="minorHAnsi" w:hAnsi="Tahoma" w:cs="Tahoma"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Celokovová, bezšroubová konstrukce, Rámy regálů jsou oboustranné, lze je vzájemně napojovat; nosnost police 170 kg; nosnost </w:t>
            </w:r>
            <w:proofErr w:type="gramStart"/>
            <w:r w:rsidRPr="0075017B">
              <w:rPr>
                <w:rFonts w:ascii="Tahoma" w:hAnsi="Tahoma" w:cs="Tahoma"/>
                <w:i/>
                <w:iCs/>
                <w:sz w:val="20"/>
                <w:szCs w:val="20"/>
              </w:rPr>
              <w:t>sloupce  1500</w:t>
            </w:r>
            <w:proofErr w:type="gramEnd"/>
            <w:r w:rsidRPr="0075017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kg</w:t>
            </w:r>
          </w:p>
          <w:p w14:paraId="1F54E37C" w14:textId="0E01EBD6" w:rsidR="00C3544A" w:rsidRPr="0075017B" w:rsidRDefault="00C3544A" w:rsidP="00C3544A">
            <w:pPr>
              <w:rPr>
                <w:rFonts w:ascii="Tahoma" w:eastAsiaTheme="minorHAnsi" w:hAnsi="Tahoma" w:cs="Tahoma"/>
                <w:i/>
                <w:iCs/>
                <w:lang w:eastAsia="en-US"/>
              </w:rPr>
            </w:pPr>
          </w:p>
          <w:p w14:paraId="2D5F9D9A" w14:textId="316B43F0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482DEFAA" w14:textId="610FFCA9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97" w:type="dxa"/>
            <w:vAlign w:val="center"/>
          </w:tcPr>
          <w:p w14:paraId="16B177B3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032F4699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430846B2" w14:textId="2A7B59FB" w:rsidTr="00BB698F">
        <w:trPr>
          <w:trHeight w:hRule="exact" w:val="1122"/>
        </w:trPr>
        <w:tc>
          <w:tcPr>
            <w:tcW w:w="709" w:type="dxa"/>
            <w:vAlign w:val="center"/>
          </w:tcPr>
          <w:p w14:paraId="4DA928EA" w14:textId="6A195D08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17</w:t>
            </w:r>
          </w:p>
          <w:p w14:paraId="2F8C4733" w14:textId="39B16C48" w:rsidR="00C3544A" w:rsidRPr="0075017B" w:rsidRDefault="00C3544A" w:rsidP="00C3544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M16</w:t>
            </w:r>
          </w:p>
        </w:tc>
        <w:tc>
          <w:tcPr>
            <w:tcW w:w="7117" w:type="dxa"/>
            <w:vAlign w:val="center"/>
          </w:tcPr>
          <w:p w14:paraId="5C589CD5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Policové regály </w:t>
            </w:r>
          </w:p>
          <w:p w14:paraId="3DB19216" w14:textId="3B3AF076" w:rsidR="00C3544A" w:rsidRPr="0075017B" w:rsidRDefault="00C3544A" w:rsidP="00C3544A">
            <w:pPr>
              <w:rPr>
                <w:rFonts w:ascii="Tahoma" w:hAnsi="Tahoma" w:cs="Tahoma"/>
                <w:b/>
                <w:bCs/>
                <w:i/>
                <w:iCs/>
              </w:rPr>
            </w:pP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Rozměr:</w:t>
            </w:r>
            <w:r w:rsidRPr="0075017B">
              <w:rPr>
                <w:rFonts w:ascii="Tahoma" w:hAnsi="Tahoma" w:cs="Tahoma"/>
                <w:b/>
                <w:bCs/>
                <w:i/>
                <w:iCs/>
              </w:rPr>
              <w:t xml:space="preserve"> 2500 x 1200 x 500 (7 polic)</w:t>
            </w:r>
          </w:p>
          <w:p w14:paraId="73A81CBB" w14:textId="729AD873" w:rsidR="00C3544A" w:rsidRPr="0075017B" w:rsidRDefault="00C3544A" w:rsidP="00C3544A">
            <w:pPr>
              <w:rPr>
                <w:rFonts w:ascii="Tahoma" w:eastAsiaTheme="minorHAnsi" w:hAnsi="Tahoma" w:cs="Tahoma"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sz w:val="20"/>
                <w:szCs w:val="20"/>
              </w:rPr>
              <w:t>Celokovová, bezšroubová konstrukce, Rámy regálů jsou oboustranné, lze je vzájemně napojovat; nosnost police 170 kg; nosnost sloupce 1500 kg</w:t>
            </w:r>
          </w:p>
          <w:p w14:paraId="1923283A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14:paraId="273DAFE8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14:paraId="33944A0B" w14:textId="74CAE846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5AE94BA8" w14:textId="603E3BAB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  <w:vAlign w:val="center"/>
          </w:tcPr>
          <w:p w14:paraId="270B7D7C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937ACA0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475A27DA" w14:textId="36B3A2C2" w:rsidTr="00BB698F">
        <w:trPr>
          <w:trHeight w:hRule="exact" w:val="1272"/>
        </w:trPr>
        <w:tc>
          <w:tcPr>
            <w:tcW w:w="709" w:type="dxa"/>
            <w:vAlign w:val="center"/>
          </w:tcPr>
          <w:p w14:paraId="75672F74" w14:textId="627AF8C1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18</w:t>
            </w:r>
          </w:p>
          <w:p w14:paraId="0A7B53D2" w14:textId="6A12FC55" w:rsidR="00C3544A" w:rsidRPr="0075017B" w:rsidRDefault="00C3544A" w:rsidP="00C3544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M17</w:t>
            </w:r>
          </w:p>
        </w:tc>
        <w:tc>
          <w:tcPr>
            <w:tcW w:w="7117" w:type="dxa"/>
            <w:vAlign w:val="center"/>
          </w:tcPr>
          <w:p w14:paraId="3A3157B8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  <w:p w14:paraId="11FF0CDB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Policové regály </w:t>
            </w:r>
          </w:p>
          <w:p w14:paraId="4593A14F" w14:textId="1874E09E" w:rsidR="00C3544A" w:rsidRPr="0075017B" w:rsidRDefault="00C3544A" w:rsidP="00C3544A">
            <w:pPr>
              <w:rPr>
                <w:rFonts w:ascii="Tahoma" w:eastAsiaTheme="minorHAnsi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Rozměr:</w:t>
            </w: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2500 x 1350 x 500 (7 polic)</w:t>
            </w:r>
          </w:p>
          <w:p w14:paraId="1F4952BC" w14:textId="19D4A70B" w:rsidR="00C3544A" w:rsidRPr="0075017B" w:rsidRDefault="00C3544A" w:rsidP="00C3544A">
            <w:pPr>
              <w:rPr>
                <w:rFonts w:ascii="Tahoma" w:eastAsiaTheme="minorHAnsi" w:hAnsi="Tahoma" w:cs="Tahoma"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sz w:val="20"/>
                <w:szCs w:val="20"/>
              </w:rPr>
              <w:t>Celokovová, bezšroubová konstrukce, Rámy regálů jsou oboustranné, lze je vzájemně napojovat; nosnost police 170 kg; nosnost sloupce 1500 kg</w:t>
            </w:r>
          </w:p>
          <w:p w14:paraId="5AF7B802" w14:textId="77777777" w:rsidR="00C3544A" w:rsidRPr="0075017B" w:rsidRDefault="00C3544A" w:rsidP="00C3544A">
            <w:pPr>
              <w:rPr>
                <w:rFonts w:ascii="Tahoma" w:eastAsiaTheme="minorHAnsi" w:hAnsi="Tahoma" w:cs="Tahoma"/>
                <w:i/>
                <w:iCs/>
                <w:sz w:val="20"/>
                <w:szCs w:val="20"/>
                <w:lang w:eastAsia="en-US"/>
              </w:rPr>
            </w:pPr>
          </w:p>
          <w:p w14:paraId="384B486D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3B264CB9" w14:textId="7BF9E0D6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97" w:type="dxa"/>
            <w:vAlign w:val="center"/>
          </w:tcPr>
          <w:p w14:paraId="4F071828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2477CA10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C3544A" w:rsidRPr="0075017B" w14:paraId="5692D06A" w14:textId="051E0D53" w:rsidTr="00BB698F">
        <w:trPr>
          <w:trHeight w:hRule="exact" w:val="1149"/>
        </w:trPr>
        <w:tc>
          <w:tcPr>
            <w:tcW w:w="709" w:type="dxa"/>
            <w:vAlign w:val="center"/>
          </w:tcPr>
          <w:p w14:paraId="547A8679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19</w:t>
            </w:r>
          </w:p>
          <w:p w14:paraId="0A1ED49B" w14:textId="304EA772" w:rsidR="00C3544A" w:rsidRPr="0075017B" w:rsidRDefault="00C3544A" w:rsidP="00C3544A">
            <w:pPr>
              <w:contextualSpacing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  <w:t>M18</w:t>
            </w:r>
          </w:p>
        </w:tc>
        <w:tc>
          <w:tcPr>
            <w:tcW w:w="7117" w:type="dxa"/>
            <w:vAlign w:val="center"/>
          </w:tcPr>
          <w:p w14:paraId="11B28E74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Policové regály </w:t>
            </w:r>
          </w:p>
          <w:p w14:paraId="0A0FBE6D" w14:textId="29B6520C" w:rsidR="00C3544A" w:rsidRPr="0075017B" w:rsidRDefault="00C3544A" w:rsidP="00C3544A">
            <w:pPr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lang w:eastAsia="en-US"/>
              </w:rPr>
              <w:t>Rozměr:</w:t>
            </w:r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2500 x 1500 x 500 </w:t>
            </w:r>
            <w:proofErr w:type="gramStart"/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( 6</w:t>
            </w:r>
            <w:proofErr w:type="gramEnd"/>
            <w:r w:rsidRPr="0075017B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 xml:space="preserve"> polic)</w:t>
            </w:r>
          </w:p>
          <w:p w14:paraId="19091D9D" w14:textId="77777777" w:rsidR="00C3544A" w:rsidRPr="0075017B" w:rsidRDefault="00C3544A" w:rsidP="00C3544A">
            <w:pPr>
              <w:rPr>
                <w:rFonts w:ascii="Tahoma" w:eastAsiaTheme="minorHAnsi" w:hAnsi="Tahoma" w:cs="Tahoma"/>
                <w:i/>
                <w:iCs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i/>
                <w:iCs/>
                <w:sz w:val="20"/>
                <w:szCs w:val="20"/>
              </w:rPr>
              <w:t>Celokovová, bezšroubová konstrukce, Rámy regálů jsou oboustranné, lze je vzájemně napojovat; nosnost police 170 kg; nosnost sloupce 1500 kg</w:t>
            </w:r>
          </w:p>
          <w:p w14:paraId="5BCEEFC0" w14:textId="77777777" w:rsidR="00C3544A" w:rsidRPr="0075017B" w:rsidRDefault="00C3544A" w:rsidP="00C3544A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217" w:type="dxa"/>
            <w:vAlign w:val="center"/>
          </w:tcPr>
          <w:p w14:paraId="2CD08533" w14:textId="7FE90ED6" w:rsidR="00C3544A" w:rsidRPr="0075017B" w:rsidRDefault="00C3544A" w:rsidP="00C3544A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97" w:type="dxa"/>
            <w:vAlign w:val="center"/>
          </w:tcPr>
          <w:p w14:paraId="416A7CAF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CF1DE6D" w14:textId="77777777" w:rsidR="00C3544A" w:rsidRPr="0075017B" w:rsidRDefault="00C3544A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75017B" w:rsidRPr="0075017B" w14:paraId="685C1DE2" w14:textId="77777777" w:rsidTr="00BB698F">
        <w:trPr>
          <w:trHeight w:hRule="exact" w:val="568"/>
        </w:trPr>
        <w:tc>
          <w:tcPr>
            <w:tcW w:w="709" w:type="dxa"/>
            <w:vAlign w:val="center"/>
          </w:tcPr>
          <w:p w14:paraId="6BF4F064" w14:textId="77777777" w:rsidR="0075017B" w:rsidRPr="0075017B" w:rsidRDefault="0075017B" w:rsidP="0075017B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2EB70AD0" w14:textId="5A23ED13" w:rsidR="0075017B" w:rsidRPr="0075017B" w:rsidRDefault="0075017B" w:rsidP="0075017B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Cena celkem bez DPH</w:t>
            </w:r>
          </w:p>
        </w:tc>
        <w:tc>
          <w:tcPr>
            <w:tcW w:w="1217" w:type="dxa"/>
            <w:vAlign w:val="center"/>
          </w:tcPr>
          <w:p w14:paraId="3F26A95A" w14:textId="77777777" w:rsidR="0075017B" w:rsidRPr="0075017B" w:rsidRDefault="0075017B" w:rsidP="0075017B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14:paraId="493BA8BA" w14:textId="77777777" w:rsidR="0075017B" w:rsidRPr="0075017B" w:rsidRDefault="0075017B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0C4C8E8" w14:textId="77777777" w:rsidR="0075017B" w:rsidRPr="0075017B" w:rsidRDefault="0075017B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75017B" w:rsidRPr="0075017B" w14:paraId="07D25718" w14:textId="77777777" w:rsidTr="00BB698F">
        <w:trPr>
          <w:trHeight w:hRule="exact" w:val="691"/>
        </w:trPr>
        <w:tc>
          <w:tcPr>
            <w:tcW w:w="709" w:type="dxa"/>
            <w:vAlign w:val="center"/>
          </w:tcPr>
          <w:p w14:paraId="4B1ACA8B" w14:textId="77777777" w:rsidR="0075017B" w:rsidRPr="0075017B" w:rsidRDefault="0075017B" w:rsidP="0075017B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5DD90C83" w14:textId="2F4AC9A5" w:rsidR="0075017B" w:rsidRPr="0075017B" w:rsidRDefault="0075017B" w:rsidP="0075017B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lang w:eastAsia="en-US"/>
              </w:rPr>
              <w:t>DPH (… %)</w:t>
            </w:r>
          </w:p>
        </w:tc>
        <w:tc>
          <w:tcPr>
            <w:tcW w:w="1217" w:type="dxa"/>
            <w:vAlign w:val="center"/>
          </w:tcPr>
          <w:p w14:paraId="6AC1EB82" w14:textId="77777777" w:rsidR="0075017B" w:rsidRPr="0075017B" w:rsidRDefault="0075017B" w:rsidP="0075017B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14:paraId="2C74C5FA" w14:textId="77777777" w:rsidR="0075017B" w:rsidRPr="0075017B" w:rsidRDefault="0075017B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6DBC2F1" w14:textId="77777777" w:rsidR="0075017B" w:rsidRPr="0075017B" w:rsidRDefault="0075017B" w:rsidP="0075017B">
            <w:pPr>
              <w:contextualSpacing/>
              <w:jc w:val="righ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75017B" w:rsidRPr="0075017B" w14:paraId="73F72497" w14:textId="77777777" w:rsidTr="00BB698F">
        <w:trPr>
          <w:trHeight w:hRule="exact" w:val="715"/>
        </w:trPr>
        <w:tc>
          <w:tcPr>
            <w:tcW w:w="709" w:type="dxa"/>
            <w:vAlign w:val="center"/>
          </w:tcPr>
          <w:p w14:paraId="4301E4CC" w14:textId="77777777" w:rsidR="0075017B" w:rsidRPr="0075017B" w:rsidRDefault="0075017B" w:rsidP="0075017B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7117" w:type="dxa"/>
            <w:vAlign w:val="center"/>
          </w:tcPr>
          <w:p w14:paraId="3AB33E9A" w14:textId="63268D51" w:rsidR="0075017B" w:rsidRPr="0075017B" w:rsidRDefault="0075017B" w:rsidP="0075017B">
            <w:pPr>
              <w:contextualSpacing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75017B">
              <w:rPr>
                <w:rFonts w:ascii="Tahoma" w:hAnsi="Tahoma" w:cs="Tahoma"/>
                <w:b/>
                <w:bCs/>
                <w:lang w:eastAsia="en-US"/>
              </w:rPr>
              <w:t>Celková cena včetně DPH</w:t>
            </w:r>
          </w:p>
        </w:tc>
        <w:tc>
          <w:tcPr>
            <w:tcW w:w="1217" w:type="dxa"/>
            <w:vAlign w:val="center"/>
          </w:tcPr>
          <w:p w14:paraId="09756148" w14:textId="77777777" w:rsidR="0075017B" w:rsidRPr="0075017B" w:rsidRDefault="0075017B" w:rsidP="0075017B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  <w:vAlign w:val="center"/>
          </w:tcPr>
          <w:p w14:paraId="7721B7A2" w14:textId="77777777" w:rsidR="0075017B" w:rsidRPr="0075017B" w:rsidRDefault="0075017B" w:rsidP="0075017B">
            <w:pPr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38EAFB2" w14:textId="77777777" w:rsidR="0075017B" w:rsidRPr="0075017B" w:rsidRDefault="0075017B" w:rsidP="0075017B">
            <w:pPr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561E8BF" w14:textId="2F876239" w:rsidR="00004C41" w:rsidRDefault="00004C41" w:rsidP="00642E20">
      <w:pPr>
        <w:suppressAutoHyphens w:val="0"/>
        <w:rPr>
          <w:rFonts w:ascii="Tahoma" w:hAnsi="Tahoma" w:cs="Tahoma"/>
        </w:rPr>
      </w:pPr>
    </w:p>
    <w:p w14:paraId="616F84E2" w14:textId="77777777" w:rsidR="00BB698F" w:rsidRPr="00717160" w:rsidRDefault="00BB698F" w:rsidP="00BB698F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717160">
        <w:rPr>
          <w:rFonts w:ascii="Tahoma" w:hAnsi="Tahoma" w:cs="Tahoma"/>
          <w:b/>
          <w:caps/>
          <w:sz w:val="28"/>
          <w:szCs w:val="28"/>
          <w:u w:val="single"/>
        </w:rPr>
        <w:t>Osoba zastupující účasníka: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BB698F" w:rsidRPr="00717160" w14:paraId="3A3FB7C5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E49AC2B" w14:textId="77777777" w:rsidR="00BB698F" w:rsidRPr="00717160" w:rsidRDefault="00BB698F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EADD6" w14:textId="77777777" w:rsidR="00BB698F" w:rsidRPr="00717160" w:rsidRDefault="00BB698F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B698F" w:rsidRPr="00717160" w14:paraId="19D5E7D7" w14:textId="77777777" w:rsidTr="00570385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979CFEB" w14:textId="77777777" w:rsidR="00BB698F" w:rsidRPr="00717160" w:rsidRDefault="00BB698F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2A2B90" w14:textId="77777777" w:rsidR="00BB698F" w:rsidRPr="00717160" w:rsidRDefault="00BB698F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B698F" w:rsidRPr="00717160" w14:paraId="5252F062" w14:textId="77777777" w:rsidTr="00570385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E2BE33F" w14:textId="77777777" w:rsidR="00BB698F" w:rsidRPr="00717160" w:rsidRDefault="00BB698F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17160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9ADF2" w14:textId="77777777" w:rsidR="00BB698F" w:rsidRPr="00717160" w:rsidRDefault="00BB698F" w:rsidP="00570385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1A9914" w14:textId="77777777" w:rsidR="00BB698F" w:rsidRPr="0075017B" w:rsidRDefault="00BB698F" w:rsidP="00642E20">
      <w:pPr>
        <w:suppressAutoHyphens w:val="0"/>
        <w:rPr>
          <w:rFonts w:ascii="Tahoma" w:hAnsi="Tahoma" w:cs="Tahoma"/>
        </w:rPr>
      </w:pPr>
    </w:p>
    <w:sectPr w:rsidR="00BB698F" w:rsidRPr="0075017B" w:rsidSect="00743B5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1262" w14:textId="77777777" w:rsidR="00BC0228" w:rsidRDefault="00BC0228" w:rsidP="002176BE">
      <w:pPr>
        <w:spacing w:after="0" w:line="240" w:lineRule="auto"/>
      </w:pPr>
      <w:r>
        <w:separator/>
      </w:r>
    </w:p>
  </w:endnote>
  <w:endnote w:type="continuationSeparator" w:id="0">
    <w:p w14:paraId="70C12225" w14:textId="77777777" w:rsidR="00BC0228" w:rsidRDefault="00BC0228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2E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CF922" w14:textId="77777777" w:rsidR="00BC0228" w:rsidRDefault="00BC0228" w:rsidP="002176BE">
      <w:pPr>
        <w:spacing w:after="0" w:line="240" w:lineRule="auto"/>
      </w:pPr>
      <w:r>
        <w:separator/>
      </w:r>
    </w:p>
  </w:footnote>
  <w:footnote w:type="continuationSeparator" w:id="0">
    <w:p w14:paraId="0B21E384" w14:textId="77777777" w:rsidR="00BC0228" w:rsidRDefault="00BC0228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CF142" w14:textId="681EA327" w:rsidR="00C23B34" w:rsidRDefault="00C23B34" w:rsidP="000637EC">
    <w:pPr>
      <w:pStyle w:val="Zhlav"/>
      <w:jc w:val="center"/>
    </w:pPr>
    <w:r w:rsidRPr="00F25A9A">
      <w:rPr>
        <w:noProof/>
        <w:lang w:eastAsia="cs-CZ"/>
      </w:rPr>
      <w:drawing>
        <wp:inline distT="0" distB="0" distL="0" distR="0" wp14:anchorId="2058505B" wp14:editId="6BE07DF3">
          <wp:extent cx="6924675" cy="637540"/>
          <wp:effectExtent l="0" t="0" r="9525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928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4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7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2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57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2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18704960">
    <w:abstractNumId w:val="9"/>
  </w:num>
  <w:num w:numId="2" w16cid:durableId="854267493">
    <w:abstractNumId w:val="6"/>
  </w:num>
  <w:num w:numId="3" w16cid:durableId="112360245">
    <w:abstractNumId w:val="4"/>
  </w:num>
  <w:num w:numId="4" w16cid:durableId="400563223">
    <w:abstractNumId w:val="42"/>
  </w:num>
  <w:num w:numId="5" w16cid:durableId="157356225">
    <w:abstractNumId w:val="35"/>
  </w:num>
  <w:num w:numId="6" w16cid:durableId="1081951333">
    <w:abstractNumId w:val="27"/>
  </w:num>
  <w:num w:numId="7" w16cid:durableId="323238566">
    <w:abstractNumId w:val="24"/>
  </w:num>
  <w:num w:numId="8" w16cid:durableId="1200242885">
    <w:abstractNumId w:val="47"/>
  </w:num>
  <w:num w:numId="9" w16cid:durableId="2108571881">
    <w:abstractNumId w:val="54"/>
  </w:num>
  <w:num w:numId="10" w16cid:durableId="93719435">
    <w:abstractNumId w:val="3"/>
  </w:num>
  <w:num w:numId="11" w16cid:durableId="1449468705">
    <w:abstractNumId w:val="2"/>
  </w:num>
  <w:num w:numId="12" w16cid:durableId="326060169">
    <w:abstractNumId w:val="1"/>
  </w:num>
  <w:num w:numId="13" w16cid:durableId="950357122">
    <w:abstractNumId w:val="0"/>
  </w:num>
  <w:num w:numId="14" w16cid:durableId="1907563849">
    <w:abstractNumId w:val="58"/>
  </w:num>
  <w:num w:numId="15" w16cid:durableId="1171219953">
    <w:abstractNumId w:val="26"/>
  </w:num>
  <w:num w:numId="16" w16cid:durableId="995034543">
    <w:abstractNumId w:val="10"/>
  </w:num>
  <w:num w:numId="17" w16cid:durableId="1007169539">
    <w:abstractNumId w:val="45"/>
  </w:num>
  <w:num w:numId="18" w16cid:durableId="134228038">
    <w:abstractNumId w:val="36"/>
  </w:num>
  <w:num w:numId="19" w16cid:durableId="815075567">
    <w:abstractNumId w:val="40"/>
  </w:num>
  <w:num w:numId="20" w16cid:durableId="1022316399">
    <w:abstractNumId w:val="60"/>
  </w:num>
  <w:num w:numId="21" w16cid:durableId="322244671">
    <w:abstractNumId w:val="46"/>
  </w:num>
  <w:num w:numId="22" w16cid:durableId="1841193679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7144201">
    <w:abstractNumId w:val="22"/>
  </w:num>
  <w:num w:numId="24" w16cid:durableId="277565024">
    <w:abstractNumId w:val="43"/>
  </w:num>
  <w:num w:numId="25" w16cid:durableId="1144930000">
    <w:abstractNumId w:val="48"/>
  </w:num>
  <w:num w:numId="26" w16cid:durableId="1746029091">
    <w:abstractNumId w:val="18"/>
  </w:num>
  <w:num w:numId="27" w16cid:durableId="1377662494">
    <w:abstractNumId w:val="50"/>
  </w:num>
  <w:num w:numId="28" w16cid:durableId="300038191">
    <w:abstractNumId w:val="51"/>
  </w:num>
  <w:num w:numId="29" w16cid:durableId="1512914654">
    <w:abstractNumId w:val="37"/>
  </w:num>
  <w:num w:numId="30" w16cid:durableId="352460549">
    <w:abstractNumId w:val="53"/>
  </w:num>
  <w:num w:numId="31" w16cid:durableId="1802457382">
    <w:abstractNumId w:val="44"/>
  </w:num>
  <w:num w:numId="32" w16cid:durableId="79180774">
    <w:abstractNumId w:val="31"/>
  </w:num>
  <w:num w:numId="33" w16cid:durableId="945388745">
    <w:abstractNumId w:val="15"/>
  </w:num>
  <w:num w:numId="34" w16cid:durableId="1322539595">
    <w:abstractNumId w:val="61"/>
  </w:num>
  <w:num w:numId="35" w16cid:durableId="358318054">
    <w:abstractNumId w:val="5"/>
  </w:num>
  <w:num w:numId="36" w16cid:durableId="1355306896">
    <w:abstractNumId w:val="55"/>
  </w:num>
  <w:num w:numId="37" w16cid:durableId="853303091">
    <w:abstractNumId w:val="13"/>
  </w:num>
  <w:num w:numId="38" w16cid:durableId="639697165">
    <w:abstractNumId w:val="41"/>
  </w:num>
  <w:num w:numId="39" w16cid:durableId="306788645">
    <w:abstractNumId w:val="30"/>
  </w:num>
  <w:num w:numId="40" w16cid:durableId="484979173">
    <w:abstractNumId w:val="59"/>
  </w:num>
  <w:num w:numId="41" w16cid:durableId="1701121897">
    <w:abstractNumId w:val="38"/>
  </w:num>
  <w:num w:numId="42" w16cid:durableId="1908152727">
    <w:abstractNumId w:val="57"/>
  </w:num>
  <w:num w:numId="43" w16cid:durableId="1719622222">
    <w:abstractNumId w:val="33"/>
  </w:num>
  <w:num w:numId="44" w16cid:durableId="1923028748">
    <w:abstractNumId w:val="34"/>
  </w:num>
  <w:num w:numId="45" w16cid:durableId="1338998066">
    <w:abstractNumId w:val="14"/>
  </w:num>
  <w:num w:numId="46" w16cid:durableId="937521259">
    <w:abstractNumId w:val="52"/>
  </w:num>
  <w:num w:numId="47" w16cid:durableId="808400457">
    <w:abstractNumId w:val="20"/>
  </w:num>
  <w:num w:numId="48" w16cid:durableId="1833254598">
    <w:abstractNumId w:val="21"/>
  </w:num>
  <w:num w:numId="49" w16cid:durableId="1459296832">
    <w:abstractNumId w:val="11"/>
  </w:num>
  <w:num w:numId="50" w16cid:durableId="1779525018">
    <w:abstractNumId w:val="29"/>
  </w:num>
  <w:num w:numId="51" w16cid:durableId="1014455514">
    <w:abstractNumId w:val="32"/>
  </w:num>
  <w:num w:numId="52" w16cid:durableId="115419158">
    <w:abstractNumId w:val="17"/>
  </w:num>
  <w:num w:numId="53" w16cid:durableId="558903943">
    <w:abstractNumId w:val="16"/>
  </w:num>
  <w:num w:numId="54" w16cid:durableId="1363751656">
    <w:abstractNumId w:val="28"/>
  </w:num>
  <w:num w:numId="55" w16cid:durableId="143283738">
    <w:abstractNumId w:val="25"/>
  </w:num>
  <w:num w:numId="56" w16cid:durableId="840655178">
    <w:abstractNumId w:val="19"/>
  </w:num>
  <w:num w:numId="57" w16cid:durableId="1948000748">
    <w:abstractNumId w:val="49"/>
  </w:num>
  <w:num w:numId="58" w16cid:durableId="274562446">
    <w:abstractNumId w:val="62"/>
  </w:num>
  <w:num w:numId="59" w16cid:durableId="522324527">
    <w:abstractNumId w:val="12"/>
  </w:num>
  <w:num w:numId="60" w16cid:durableId="1728141137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EE"/>
    <w:rsid w:val="00003B98"/>
    <w:rsid w:val="00004C41"/>
    <w:rsid w:val="00005AF3"/>
    <w:rsid w:val="0000665A"/>
    <w:rsid w:val="00010C04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7EC"/>
    <w:rsid w:val="00063C1F"/>
    <w:rsid w:val="000657F0"/>
    <w:rsid w:val="00071884"/>
    <w:rsid w:val="000729E6"/>
    <w:rsid w:val="0007534D"/>
    <w:rsid w:val="00085D34"/>
    <w:rsid w:val="0008663B"/>
    <w:rsid w:val="00097CF5"/>
    <w:rsid w:val="000B5069"/>
    <w:rsid w:val="000B5E64"/>
    <w:rsid w:val="000C5D0A"/>
    <w:rsid w:val="000D3F11"/>
    <w:rsid w:val="000F4B29"/>
    <w:rsid w:val="000F5641"/>
    <w:rsid w:val="00100A9B"/>
    <w:rsid w:val="00103600"/>
    <w:rsid w:val="00105CD9"/>
    <w:rsid w:val="001116F1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3B75"/>
    <w:rsid w:val="00153CAC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9740F"/>
    <w:rsid w:val="001A1D97"/>
    <w:rsid w:val="001A3027"/>
    <w:rsid w:val="001A4803"/>
    <w:rsid w:val="001B2B20"/>
    <w:rsid w:val="001C3EC0"/>
    <w:rsid w:val="001C5F92"/>
    <w:rsid w:val="001E1F39"/>
    <w:rsid w:val="001E5BE4"/>
    <w:rsid w:val="001E75BB"/>
    <w:rsid w:val="001F1C13"/>
    <w:rsid w:val="001F260A"/>
    <w:rsid w:val="0020223E"/>
    <w:rsid w:val="0020487B"/>
    <w:rsid w:val="002101AD"/>
    <w:rsid w:val="002162DB"/>
    <w:rsid w:val="002176BE"/>
    <w:rsid w:val="00221F6F"/>
    <w:rsid w:val="00222F78"/>
    <w:rsid w:val="00226561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6094"/>
    <w:rsid w:val="002808BF"/>
    <w:rsid w:val="00280A89"/>
    <w:rsid w:val="00281EC1"/>
    <w:rsid w:val="00286605"/>
    <w:rsid w:val="00287E1F"/>
    <w:rsid w:val="00290B30"/>
    <w:rsid w:val="002934A4"/>
    <w:rsid w:val="0029389D"/>
    <w:rsid w:val="002A7FC9"/>
    <w:rsid w:val="002B1BAD"/>
    <w:rsid w:val="002B2403"/>
    <w:rsid w:val="002B3B6C"/>
    <w:rsid w:val="002B697F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131BF"/>
    <w:rsid w:val="00331C2F"/>
    <w:rsid w:val="00331CCF"/>
    <w:rsid w:val="00337253"/>
    <w:rsid w:val="00337CF5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D7DAA"/>
    <w:rsid w:val="003E7F12"/>
    <w:rsid w:val="004028EA"/>
    <w:rsid w:val="0040502A"/>
    <w:rsid w:val="00411D23"/>
    <w:rsid w:val="0041255C"/>
    <w:rsid w:val="0042408F"/>
    <w:rsid w:val="00431D3D"/>
    <w:rsid w:val="00433E28"/>
    <w:rsid w:val="00435D12"/>
    <w:rsid w:val="00440E81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B7599"/>
    <w:rsid w:val="004C21EF"/>
    <w:rsid w:val="004C55D2"/>
    <w:rsid w:val="004D0A7D"/>
    <w:rsid w:val="004D1A03"/>
    <w:rsid w:val="004D4D91"/>
    <w:rsid w:val="004D55B3"/>
    <w:rsid w:val="004E2ACD"/>
    <w:rsid w:val="004E661F"/>
    <w:rsid w:val="004F369A"/>
    <w:rsid w:val="004F5CB5"/>
    <w:rsid w:val="004F5FB2"/>
    <w:rsid w:val="004F6D32"/>
    <w:rsid w:val="00501088"/>
    <w:rsid w:val="0051061E"/>
    <w:rsid w:val="00511383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6638C"/>
    <w:rsid w:val="00570A59"/>
    <w:rsid w:val="0057181D"/>
    <w:rsid w:val="00571979"/>
    <w:rsid w:val="005912B1"/>
    <w:rsid w:val="005A0D97"/>
    <w:rsid w:val="005A112A"/>
    <w:rsid w:val="005B04CF"/>
    <w:rsid w:val="005C1657"/>
    <w:rsid w:val="005C1D98"/>
    <w:rsid w:val="005C5141"/>
    <w:rsid w:val="005C5D24"/>
    <w:rsid w:val="005C7FBE"/>
    <w:rsid w:val="005D0178"/>
    <w:rsid w:val="005D33DA"/>
    <w:rsid w:val="005D64C5"/>
    <w:rsid w:val="005E00F0"/>
    <w:rsid w:val="005E0C1D"/>
    <w:rsid w:val="005E15BE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30D4A"/>
    <w:rsid w:val="00642885"/>
    <w:rsid w:val="00642E20"/>
    <w:rsid w:val="00643DF2"/>
    <w:rsid w:val="00644263"/>
    <w:rsid w:val="00652387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43B53"/>
    <w:rsid w:val="0075017B"/>
    <w:rsid w:val="00753028"/>
    <w:rsid w:val="00760915"/>
    <w:rsid w:val="00761399"/>
    <w:rsid w:val="00763FF6"/>
    <w:rsid w:val="00766AE0"/>
    <w:rsid w:val="00772ED1"/>
    <w:rsid w:val="00777F4F"/>
    <w:rsid w:val="0078075C"/>
    <w:rsid w:val="00781F68"/>
    <w:rsid w:val="00782B96"/>
    <w:rsid w:val="00790267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2B01"/>
    <w:rsid w:val="007D565C"/>
    <w:rsid w:val="007D5A2A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350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44E3"/>
    <w:rsid w:val="008E76F5"/>
    <w:rsid w:val="008F3083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54FD5"/>
    <w:rsid w:val="00960E75"/>
    <w:rsid w:val="009660DC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FF8"/>
    <w:rsid w:val="00A13451"/>
    <w:rsid w:val="00A22022"/>
    <w:rsid w:val="00A26E46"/>
    <w:rsid w:val="00A27AC4"/>
    <w:rsid w:val="00A31017"/>
    <w:rsid w:val="00A3446B"/>
    <w:rsid w:val="00A454B0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950C1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5769"/>
    <w:rsid w:val="00B05965"/>
    <w:rsid w:val="00B204FF"/>
    <w:rsid w:val="00B220DF"/>
    <w:rsid w:val="00B231CB"/>
    <w:rsid w:val="00B30C7E"/>
    <w:rsid w:val="00B33352"/>
    <w:rsid w:val="00B420B0"/>
    <w:rsid w:val="00B515B8"/>
    <w:rsid w:val="00B51C1C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6E0E"/>
    <w:rsid w:val="00B87BA2"/>
    <w:rsid w:val="00B95C04"/>
    <w:rsid w:val="00B95D09"/>
    <w:rsid w:val="00B968A0"/>
    <w:rsid w:val="00B97464"/>
    <w:rsid w:val="00BA0A32"/>
    <w:rsid w:val="00BA55A5"/>
    <w:rsid w:val="00BB698F"/>
    <w:rsid w:val="00BB76FA"/>
    <w:rsid w:val="00BC0228"/>
    <w:rsid w:val="00BD439A"/>
    <w:rsid w:val="00BE1223"/>
    <w:rsid w:val="00BE2756"/>
    <w:rsid w:val="00BE4F95"/>
    <w:rsid w:val="00BE6270"/>
    <w:rsid w:val="00BF445A"/>
    <w:rsid w:val="00BF7BC9"/>
    <w:rsid w:val="00C00C6A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7969"/>
    <w:rsid w:val="00C3544A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77367"/>
    <w:rsid w:val="00C8029F"/>
    <w:rsid w:val="00C802F7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B40FE"/>
    <w:rsid w:val="00CC09FD"/>
    <w:rsid w:val="00CC601F"/>
    <w:rsid w:val="00CD3949"/>
    <w:rsid w:val="00CE3208"/>
    <w:rsid w:val="00CF1B7F"/>
    <w:rsid w:val="00CF7951"/>
    <w:rsid w:val="00D031D0"/>
    <w:rsid w:val="00D04219"/>
    <w:rsid w:val="00D050DA"/>
    <w:rsid w:val="00D13939"/>
    <w:rsid w:val="00D14088"/>
    <w:rsid w:val="00D14DDC"/>
    <w:rsid w:val="00D179F8"/>
    <w:rsid w:val="00D20B12"/>
    <w:rsid w:val="00D22FE3"/>
    <w:rsid w:val="00D2325D"/>
    <w:rsid w:val="00D2400E"/>
    <w:rsid w:val="00D3706F"/>
    <w:rsid w:val="00D37317"/>
    <w:rsid w:val="00D37C7B"/>
    <w:rsid w:val="00D4095A"/>
    <w:rsid w:val="00D40976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430E"/>
    <w:rsid w:val="00D66617"/>
    <w:rsid w:val="00D71725"/>
    <w:rsid w:val="00D72741"/>
    <w:rsid w:val="00D76DE0"/>
    <w:rsid w:val="00D772AC"/>
    <w:rsid w:val="00D80131"/>
    <w:rsid w:val="00D82425"/>
    <w:rsid w:val="00D90B26"/>
    <w:rsid w:val="00D93335"/>
    <w:rsid w:val="00D9439E"/>
    <w:rsid w:val="00D96233"/>
    <w:rsid w:val="00DA3E4D"/>
    <w:rsid w:val="00DB2AF5"/>
    <w:rsid w:val="00DD15A4"/>
    <w:rsid w:val="00DD4831"/>
    <w:rsid w:val="00DD6E68"/>
    <w:rsid w:val="00DE2A2E"/>
    <w:rsid w:val="00DE568E"/>
    <w:rsid w:val="00E119CC"/>
    <w:rsid w:val="00E14FCB"/>
    <w:rsid w:val="00E209B3"/>
    <w:rsid w:val="00E20F65"/>
    <w:rsid w:val="00E214D0"/>
    <w:rsid w:val="00E2333D"/>
    <w:rsid w:val="00E25DD0"/>
    <w:rsid w:val="00E31535"/>
    <w:rsid w:val="00E336C1"/>
    <w:rsid w:val="00E3548C"/>
    <w:rsid w:val="00E378FD"/>
    <w:rsid w:val="00E406BB"/>
    <w:rsid w:val="00E5366D"/>
    <w:rsid w:val="00E5570C"/>
    <w:rsid w:val="00E62CE1"/>
    <w:rsid w:val="00E631BE"/>
    <w:rsid w:val="00E64B3E"/>
    <w:rsid w:val="00E71773"/>
    <w:rsid w:val="00E71C5C"/>
    <w:rsid w:val="00E71D57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40D4"/>
    <w:rsid w:val="00EF4109"/>
    <w:rsid w:val="00EF511F"/>
    <w:rsid w:val="00EF780B"/>
    <w:rsid w:val="00F00527"/>
    <w:rsid w:val="00F026D8"/>
    <w:rsid w:val="00F06AEF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  <w:rsid w:val="00FF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14151-F9C7-4BC0-8395-F46B04C5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2025-02-26T16:38:00Z</dcterms:created>
  <dcterms:modified xsi:type="dcterms:W3CDTF">2025-03-24T10:24:00Z</dcterms:modified>
</cp:coreProperties>
</file>